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古风文案的分类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乃古韵流长之言辞，其风格婉转悠扬、意蕴深远。自古至今，古风文案以其独特的韵味，成为表达情感与思想的重要方式。本文将深入探讨古风文案的几大主要分类，以期帮助读者更好地了解这一文化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古风文案，以古典诗词为基础，通过赋诗作词的形式，传达情感与思想。这类文案多以四言、五言或七言句式为主，讲究对仗工整与韵律和谐。例如，“月下清影轻舞，竹间微风细语”便是一例。此类文案既富有文化底蕴，又能够营造出诗意盎然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古典散文古风文案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散文古风文案则以优雅的文字描绘出古代风貌，追求文辞的古雅与隽永。散文形式更加自由，语言上更加灵活。例如，“春水初生，春林初盛，春风十里，不如你”便是散文古风的代表作。此类文案常用于文学创作和文化宣传，具有较高的艺术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古风对联古风文案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对联古风文案，以对仗工整的联句为特点，通过上下句的对仗与押韵展现古风魅力。对联不仅考验文采，还体现了古人对词句的精妙把握。经典对联如“风花雪月，江山如画”，简洁而富有深意，适用于节庆庆典及书法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古风修辞古风文案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修辞古风文案则注重修辞手法的运用，如排比、比喻等，通过巧妙的文字表达，传递复杂的情感与思想。例如，“千年等待，愿为你化作一片秋叶，飘落于你梦中的林间”便是一种修辞丰富的文案。此类文案常用于广告文案及个人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句古风文案多摘取古代名人的诗句或名言，用以表达现代情感或思想。这类文案简洁明了，易于引起共鸣。例如，“书中自有黄金屋，书中自有颜如玉”便是一句广为流传的古风名句。它们常被引用于日常生活、社交媒体及教育培训等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以其丰富的分类和深厚的文化内涵，为现代社会增添了无限的韵味与魅力。无论是诗词、散文，还是对联、修辞，每一种形式都展现了古风文案的独特魅力。希望通过本文的探讨，读者能够更加深入地了解并运用这些古风文案，为生活添一抹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