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无畏无惧，英雄本色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；地势坤，君子以厚德载物。”这句古风名句展示了中国古代文人的豪情壮志。无论天地如何变幻，真正的英雄总是以不屈的意志和宽广的胸襟迎接一切挑战。古人云：“君子坦荡荡，小人长戚戚。”君子之风，如大海般包容宽广，又如山岳般坚韧不拔。在古风语录中，我们常见到这种鼓舞人心的力量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挥洒豪情，气吞山河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代天骄，成吉思汗，纵横四海，谁与争锋？”这是对古代英雄成吉思汗气吞山河气魄的真实写照。每当读到这样的句子，仿佛可以看到古人挥毫泼墨、豪情万丈的身影。古风语录中的霸气之语，如同战鼓擂响，铿锵有力，不仅鼓舞士气，更传递了无畏的精神。正如古诗所言：“将军百战死，壮士十年归。”这些句子背后藏着不屈的坚韧和豪情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志饥餐胡虏肉，笑谈渴饮匈奴血。”这句诗句表达了对敌人毫不妥协、奋勇向前的决心。古风语录中的这种气概，往往充满了对挑战的迎击和对未来的豪情。古人通过笔墨表达出心中的壮志豪情，仿佛他们手握长剑，剑指苍穹，誓要将万里江山纳于掌中。这种气吞万里的豪情，正是古风语录最具吸引力的部分，让人感受到一种超越时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古风名句充满了积极向上的力量和豪情壮志。古代文人通过诗词表达自己不懈追求理想的决心与勇气。无论面对怎样的风雨，他们总是坚定地信仰自己的目标，满怀信心地前行。正是这种豪情万丈、志在千里的精神，激励着无数人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迈的句子，不仅是文字的艺术，更是一种精神的传达。在这些霸气的古风语录中，我们能感受到古代文人豪情万丈的气魄与不屈的信念。每一句话背后都蕴藏着深厚的文化底蕴和强烈的个人情感，让人在阅读中不仅欣赏到文字的优美，更能体会到那份跨越时空的豪情壮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