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FBC7" w14:textId="77777777" w:rsidR="002D21FE" w:rsidRDefault="002D21FE">
      <w:pPr>
        <w:rPr>
          <w:rFonts w:hint="eastAsia"/>
        </w:rPr>
      </w:pPr>
      <w:r>
        <w:rPr>
          <w:rFonts w:hint="eastAsia"/>
        </w:rPr>
        <w:t>司马光的拼写规则六年级</w:t>
      </w:r>
    </w:p>
    <w:p w14:paraId="5A793EEA" w14:textId="77777777" w:rsidR="002D21FE" w:rsidRDefault="002D21FE">
      <w:pPr>
        <w:rPr>
          <w:rFonts w:hint="eastAsia"/>
        </w:rPr>
      </w:pPr>
      <w:r>
        <w:rPr>
          <w:rFonts w:hint="eastAsia"/>
        </w:rPr>
        <w:t>在探讨司马光的拼写规则之前，我们有必要先了解一下这位历史人物。司马光（1019年－1086年），字君实，是北宋时期著名的历史学家、政治家和文学家。他最著名的成就是主持编纂了中国历史上第一部编年体通史《资治通鉴》，这部著作对于后世的历史研究有着不可估量的价值。</w:t>
      </w:r>
    </w:p>
    <w:p w14:paraId="68F247DA" w14:textId="77777777" w:rsidR="002D21FE" w:rsidRDefault="002D21FE">
      <w:pPr>
        <w:rPr>
          <w:rFonts w:hint="eastAsia"/>
        </w:rPr>
      </w:pPr>
    </w:p>
    <w:p w14:paraId="7D0817C3" w14:textId="77777777" w:rsidR="002D21FE" w:rsidRDefault="002D21FE">
      <w:pPr>
        <w:rPr>
          <w:rFonts w:hint="eastAsia"/>
        </w:rPr>
      </w:pPr>
      <w:r>
        <w:rPr>
          <w:rFonts w:hint="eastAsia"/>
        </w:rPr>
        <w:t>古代汉语与现代汉语的区别</w:t>
      </w:r>
    </w:p>
    <w:p w14:paraId="7FFBF948" w14:textId="77777777" w:rsidR="002D21FE" w:rsidRDefault="002D21FE">
      <w:pPr>
        <w:rPr>
          <w:rFonts w:hint="eastAsia"/>
        </w:rPr>
      </w:pPr>
      <w:r>
        <w:rPr>
          <w:rFonts w:hint="eastAsia"/>
        </w:rPr>
        <w:t>要理解司马光时代的拼写规则，我们需要了解古代汉语和现代汉语之间的差异。古代汉语是文言文，它简洁而富有表现力，但与今天的白话文相比，语法结构和词汇使用上都有很大的不同。在司马光生活的北宋时期，汉字已经经历了数千年的发展演变，当时的书写系统已经相当成熟，但与现代汉语拼音体系不同的是，古代并没有一个统一的发音和拼写规则，更多依赖于口耳相传和文献记载。</w:t>
      </w:r>
    </w:p>
    <w:p w14:paraId="422AA36A" w14:textId="77777777" w:rsidR="002D21FE" w:rsidRDefault="002D21FE">
      <w:pPr>
        <w:rPr>
          <w:rFonts w:hint="eastAsia"/>
        </w:rPr>
      </w:pPr>
    </w:p>
    <w:p w14:paraId="43E1935B" w14:textId="77777777" w:rsidR="002D21FE" w:rsidRDefault="002D21FE">
      <w:pPr>
        <w:rPr>
          <w:rFonts w:hint="eastAsia"/>
        </w:rPr>
      </w:pPr>
      <w:r>
        <w:rPr>
          <w:rFonts w:hint="eastAsia"/>
        </w:rPr>
        <w:t>司马光时期的文字规范</w:t>
      </w:r>
    </w:p>
    <w:p w14:paraId="7F15D174" w14:textId="77777777" w:rsidR="002D21FE" w:rsidRDefault="002D21FE">
      <w:pPr>
        <w:rPr>
          <w:rFonts w:hint="eastAsia"/>
        </w:rPr>
      </w:pPr>
      <w:r>
        <w:rPr>
          <w:rFonts w:hint="eastAsia"/>
        </w:rPr>
        <w:t>尽管没有像今天这样严格的拼写规则，北宋时期的学者们依然遵循一定的文字规范。这些规范主要体现在对传统经典的尊重以及对前人用字习惯的继承。例如，在《资治通鉴》中，司马光尽量保持了历史文献原文的面貌，对于一些难以辨认或少见的古字，他会根据上下文和已有的知识进行合理的推测和解释。这种做法不仅保证了文献的真实性和准确性，也反映了当时学界对于文字使用的严谨态度。</w:t>
      </w:r>
    </w:p>
    <w:p w14:paraId="4A880FDB" w14:textId="77777777" w:rsidR="002D21FE" w:rsidRDefault="002D21FE">
      <w:pPr>
        <w:rPr>
          <w:rFonts w:hint="eastAsia"/>
        </w:rPr>
      </w:pPr>
    </w:p>
    <w:p w14:paraId="6B1036D2" w14:textId="77777777" w:rsidR="002D21FE" w:rsidRDefault="002D21FE">
      <w:pPr>
        <w:rPr>
          <w:rFonts w:hint="eastAsia"/>
        </w:rPr>
      </w:pPr>
      <w:r>
        <w:rPr>
          <w:rFonts w:hint="eastAsia"/>
        </w:rPr>
        <w:t>从司马光看古代的教育与学习</w:t>
      </w:r>
    </w:p>
    <w:p w14:paraId="65AFB185" w14:textId="77777777" w:rsidR="002D21FE" w:rsidRDefault="002D21FE">
      <w:pPr>
        <w:rPr>
          <w:rFonts w:hint="eastAsia"/>
        </w:rPr>
      </w:pPr>
      <w:r>
        <w:rPr>
          <w:rFonts w:hint="eastAsia"/>
        </w:rPr>
        <w:t>通过司马光的作品我们可以窥见北宋时期教育的一些特点。那时候的学习强调经典诵读和记忆，学生需要花费大量时间背诵儒家经典和其他重要文献。书法也是重要的学科之一，因为书写的美观程度直接关系到个人的文化素养和社会地位。在这个过程中，正确的用字成为衡量一个人是否受过良好教育的重要标准。虽然没有系统的拼写教学，但是通过对经典作品的反复研读，学生们自然而然地掌握了正确的用字方法。</w:t>
      </w:r>
    </w:p>
    <w:p w14:paraId="704485F3" w14:textId="77777777" w:rsidR="002D21FE" w:rsidRDefault="002D21FE">
      <w:pPr>
        <w:rPr>
          <w:rFonts w:hint="eastAsia"/>
        </w:rPr>
      </w:pPr>
    </w:p>
    <w:p w14:paraId="46BE2706" w14:textId="77777777" w:rsidR="002D21FE" w:rsidRDefault="002D21FE">
      <w:pPr>
        <w:rPr>
          <w:rFonts w:hint="eastAsia"/>
        </w:rPr>
      </w:pPr>
      <w:r>
        <w:rPr>
          <w:rFonts w:hint="eastAsia"/>
        </w:rPr>
        <w:t>司马光时代之后的文字发展</w:t>
      </w:r>
    </w:p>
    <w:p w14:paraId="3484E697" w14:textId="77777777" w:rsidR="002D21FE" w:rsidRDefault="002D21FE">
      <w:pPr>
        <w:rPr>
          <w:rFonts w:hint="eastAsia"/>
        </w:rPr>
      </w:pPr>
      <w:r>
        <w:rPr>
          <w:rFonts w:hint="eastAsia"/>
        </w:rPr>
        <w:t>随着时间的推移，汉字经历了不断的简化和发展，到了现代，我们有了更加系统化的拼音和汉字教学方法。然而，回顾司马光所处的时代，我们可以看到，即便是在缺乏现代意义上的拼写规则的情况下，古人依然能够准确地传递信息并留下宝贵的文化遗产。这对于我们今天学习和保护传统文化具有重要的启示意义。</w:t>
      </w:r>
    </w:p>
    <w:p w14:paraId="2EE5EAFE" w14:textId="77777777" w:rsidR="002D21FE" w:rsidRDefault="002D21FE">
      <w:pPr>
        <w:rPr>
          <w:rFonts w:hint="eastAsia"/>
        </w:rPr>
      </w:pPr>
    </w:p>
    <w:p w14:paraId="30BE2FC7" w14:textId="77777777" w:rsidR="002D21FE" w:rsidRDefault="002D21FE">
      <w:pPr>
        <w:rPr>
          <w:rFonts w:hint="eastAsia"/>
        </w:rPr>
      </w:pPr>
      <w:r>
        <w:rPr>
          <w:rFonts w:hint="eastAsia"/>
        </w:rPr>
        <w:t>最后的总结</w:t>
      </w:r>
    </w:p>
    <w:p w14:paraId="0DC4512A" w14:textId="77777777" w:rsidR="002D21FE" w:rsidRDefault="002D21FE">
      <w:pPr>
        <w:rPr>
          <w:rFonts w:hint="eastAsia"/>
        </w:rPr>
      </w:pPr>
      <w:r>
        <w:rPr>
          <w:rFonts w:hint="eastAsia"/>
        </w:rPr>
        <w:t>“司马光的拼写规则”并非指具体的、如今天我们所理解的那种拼写规则，而是反映了北宋时期对于文字使用的一种严谨态度和文化传承。司马光及其同代人的努力，为中华文明留下了丰厚的精神财富，也为后来的文字改革和发展奠定了坚实的基础。</w:t>
      </w:r>
    </w:p>
    <w:p w14:paraId="732680C6" w14:textId="77777777" w:rsidR="002D21FE" w:rsidRDefault="002D21FE">
      <w:pPr>
        <w:rPr>
          <w:rFonts w:hint="eastAsia"/>
        </w:rPr>
      </w:pPr>
    </w:p>
    <w:p w14:paraId="225C828D" w14:textId="77777777" w:rsidR="002D21FE" w:rsidRDefault="002D2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0F407" w14:textId="27271BA6" w:rsidR="004C6B35" w:rsidRDefault="004C6B35"/>
    <w:sectPr w:rsidR="004C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35"/>
    <w:rsid w:val="002D21FE"/>
    <w:rsid w:val="003B267A"/>
    <w:rsid w:val="004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BEF0-90BC-4178-9E18-0A08BCD2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